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957E56">
        <w:rPr>
          <w:rFonts w:ascii="Arial" w:hAnsi="Arial" w:cs="Arial"/>
          <w:b/>
          <w:bCs/>
        </w:rPr>
        <w:t>y Bulletin - Volume 9; Issue 163</w:t>
      </w:r>
    </w:p>
    <w:p w:rsidR="00687428" w:rsidRDefault="00957E56" w:rsidP="006A1368">
      <w:pPr>
        <w:jc w:val="center"/>
        <w:rPr>
          <w:rFonts w:ascii="Arial" w:hAnsi="Arial" w:cs="Arial"/>
          <w:b/>
          <w:bCs/>
          <w:sz w:val="36"/>
          <w:szCs w:val="36"/>
        </w:rPr>
      </w:pPr>
      <w:r>
        <w:rPr>
          <w:rFonts w:ascii="Arial" w:hAnsi="Arial" w:cs="Arial"/>
          <w:b/>
          <w:bCs/>
          <w:sz w:val="36"/>
          <w:szCs w:val="36"/>
        </w:rPr>
        <w:t>TUES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11</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bookmarkStart w:id="0" w:name="_GoBack"/>
      <w:bookmarkEnd w:id="0"/>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6F4AE7"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E7" w:rsidRDefault="006F4AE7" w:rsidP="007C2062">
      <w:r>
        <w:separator/>
      </w:r>
    </w:p>
  </w:endnote>
  <w:endnote w:type="continuationSeparator" w:id="0">
    <w:p w:rsidR="006F4AE7" w:rsidRDefault="006F4AE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E7" w:rsidRDefault="006F4AE7" w:rsidP="007C2062">
      <w:r>
        <w:separator/>
      </w:r>
    </w:p>
  </w:footnote>
  <w:footnote w:type="continuationSeparator" w:id="0">
    <w:p w:rsidR="006F4AE7" w:rsidRDefault="006F4AE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CABF-97DF-46E4-A1F5-A2946B7A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2021-05-07T17:26:00Z</dcterms:created>
  <dcterms:modified xsi:type="dcterms:W3CDTF">2021-05-07T17:26:00Z</dcterms:modified>
</cp:coreProperties>
</file>