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F654A5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</w:t>
      </w:r>
      <w:r w:rsidR="00025143">
        <w:rPr>
          <w:rFonts w:ascii="Arial" w:hAnsi="Arial" w:cs="Arial"/>
          <w:b/>
          <w:bCs/>
        </w:rPr>
        <w:t>3</w:t>
      </w:r>
    </w:p>
    <w:p w14:paraId="21367644" w14:textId="00291322" w:rsidR="00F2282C" w:rsidRDefault="00025143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8C185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A1235F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09E4628" w14:textId="26F3B203" w:rsidR="001A4A38" w:rsidRPr="001A4A38" w:rsidRDefault="001A4A38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If</w:t>
      </w:r>
      <w:proofErr w:type="gramEnd"/>
      <w:r>
        <w:rPr>
          <w:rFonts w:ascii="Century Gothic" w:hAnsi="Century Gothic"/>
          <w:bCs/>
        </w:rPr>
        <w:t xml:space="preserve"> you are interested in being a Speaker at Denim &amp; Diamonds on Saturday, March 1</w:t>
      </w:r>
      <w:r w:rsidRPr="001A4A38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– See the office.  Try-outs will be February 19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and February 20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.  Sign ups are in the office.  See Mrs. Lalanne if you have any questions.</w:t>
      </w:r>
    </w:p>
    <w:p w14:paraId="6AA66DD3" w14:textId="77777777" w:rsidR="001A4A38" w:rsidRDefault="001A4A38" w:rsidP="009E7AA2">
      <w:pPr>
        <w:rPr>
          <w:rFonts w:ascii="Century Gothic" w:hAnsi="Century Gothic"/>
          <w:b/>
          <w:u w:val="single"/>
        </w:rPr>
      </w:pPr>
    </w:p>
    <w:p w14:paraId="3D9064D8" w14:textId="72F636EF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50E0FF9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 12th, 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lastRenderedPageBreak/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2025-02-10T17:07:00Z</dcterms:created>
  <dcterms:modified xsi:type="dcterms:W3CDTF">2025-02-11T16:30:00Z</dcterms:modified>
</cp:coreProperties>
</file>