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D9EA693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A27215">
        <w:rPr>
          <w:rFonts w:ascii="Arial" w:hAnsi="Arial" w:cs="Arial"/>
          <w:b/>
          <w:bCs/>
        </w:rPr>
        <w:t>6</w:t>
      </w:r>
    </w:p>
    <w:p w14:paraId="433E84CB" w14:textId="77DDDCB0" w:rsidR="001434BF" w:rsidRDefault="00A2721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3A3096" w14:textId="3B11EE83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>No School – Monday, October 13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 xml:space="preserve"> and Tuesday, October 14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78ED0F82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1230C5DF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6B2769" w:rsidRPr="00B219AF">
          <w:rPr>
            <w:rStyle w:val="Hyperlink"/>
            <w:rFonts w:eastAsia="Times New Roman"/>
          </w:rPr>
          <w:t>https://forms.gle/NACdxjzf44mqeRGA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448D0122" w14:textId="77777777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26D0E"/>
    <w:rsid w:val="007339A2"/>
    <w:rsid w:val="00734467"/>
    <w:rsid w:val="00735A25"/>
    <w:rsid w:val="00740110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3056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NACdxjzf44mqeR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2025-10-01T14:37:00Z</dcterms:created>
  <dcterms:modified xsi:type="dcterms:W3CDTF">2025-10-01T14:37:00Z</dcterms:modified>
</cp:coreProperties>
</file>